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70D7E">
      <w:pPr>
        <w:rPr>
          <w:sz w:val="21"/>
        </w:rPr>
      </w:pPr>
      <w:r>
        <w:rPr>
          <w:sz w:val="21"/>
        </w:rPr>
        <mc:AlternateContent>
          <mc:Choice Requires="wps">
            <w:drawing>
              <wp:anchor distT="0" distB="0" distL="114300" distR="114300" simplePos="0" relativeHeight="251661312"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1312;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1" name="直接连接符 1"/>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0288;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ovN0u1wAAAAsBAAAPAAAAAAAAAAEAIAAAACIAAABkcnMvZG93bnJldi54bWxQSwEC&#10;FAAUAAAACACHTuJA+A0XpPUBAAC+AwAADgAAAAAAAAABACAAAAAmAQAAZHJzL2Uyb0RvYy54bWxQ&#10;SwUGAAAAAAYABgBZAQAAjQU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D8EE06">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59264;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14:paraId="42D8EE06">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p>
    <w:p w14:paraId="2FA08D93">
      <w:pPr>
        <w:bidi w:val="0"/>
        <w:rPr>
          <w:rFonts w:asciiTheme="minorHAnsi" w:hAnsiTheme="minorHAnsi" w:eastAsiaTheme="minorEastAsia" w:cstheme="minorBidi"/>
          <w:kern w:val="2"/>
          <w:sz w:val="21"/>
          <w:szCs w:val="24"/>
          <w:lang w:val="en-US" w:eastAsia="zh-CN" w:bidi="ar-SA"/>
        </w:rPr>
      </w:pPr>
    </w:p>
    <w:p w14:paraId="34340010">
      <w:pPr>
        <w:bidi w:val="0"/>
        <w:rPr>
          <w:lang w:val="en-US" w:eastAsia="zh-CN"/>
        </w:rPr>
      </w:pPr>
    </w:p>
    <w:p w14:paraId="4BC40693">
      <w:pPr>
        <w:bidi w:val="0"/>
        <w:rPr>
          <w:lang w:val="en-US" w:eastAsia="zh-CN"/>
        </w:rPr>
      </w:pPr>
    </w:p>
    <w:p w14:paraId="2588F5A4">
      <w:pPr>
        <w:tabs>
          <w:tab w:val="left" w:pos="3727"/>
        </w:tabs>
        <w:bidi w:val="0"/>
        <w:jc w:val="right"/>
        <w:rPr>
          <w:rFonts w:hint="eastAsia"/>
          <w:lang w:val="en-US" w:eastAsia="zh-CN"/>
        </w:rPr>
      </w:pPr>
      <w:r>
        <w:rPr>
          <w:rFonts w:hint="eastAsia"/>
          <w:lang w:val="en-US" w:eastAsia="zh-CN"/>
        </w:rPr>
        <w:tab/>
      </w:r>
    </w:p>
    <w:p w14:paraId="3409328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eastAsia="zh-CN"/>
        </w:rPr>
      </w:pPr>
    </w:p>
    <w:p w14:paraId="14CD32C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eastAsia="zh-CN"/>
        </w:rPr>
      </w:pPr>
      <w:r>
        <w:rPr>
          <w:sz w:val="21"/>
        </w:rPr>
        <mc:AlternateContent>
          <mc:Choice Requires="wps">
            <w:drawing>
              <wp:anchor distT="0" distB="0" distL="114300" distR="114300" simplePos="0" relativeHeight="251663360" behindDoc="0" locked="0" layoutInCell="1" allowOverlap="1">
                <wp:simplePos x="0" y="0"/>
                <wp:positionH relativeFrom="column">
                  <wp:posOffset>3079115</wp:posOffset>
                </wp:positionH>
                <wp:positionV relativeFrom="paragraph">
                  <wp:posOffset>250825</wp:posOffset>
                </wp:positionV>
                <wp:extent cx="2747645"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274764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4E60F2">
                            <w:pPr>
                              <w:tabs>
                                <w:tab w:val="left" w:pos="3727"/>
                              </w:tabs>
                              <w:bidi w:val="0"/>
                              <w:jc w:val="center"/>
                              <w:rPr>
                                <w:rFonts w:hint="default"/>
                                <w:lang w:val="en-US" w:eastAsia="zh-CN"/>
                              </w:rPr>
                            </w:pPr>
                            <w:r>
                              <w:rPr>
                                <w:rFonts w:hint="eastAsia" w:ascii="仿宋" w:hAnsi="仿宋" w:eastAsia="仿宋" w:cs="仿宋"/>
                                <w:sz w:val="32"/>
                                <w:szCs w:val="32"/>
                                <w:lang w:val="en-US" w:eastAsia="zh-CN"/>
                              </w:rPr>
                              <w:t>是否公开：是</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42.45pt;margin-top:19.75pt;height:144pt;width:216.35pt;mso-wrap-distance-bottom:0pt;mso-wrap-distance-left:9pt;mso-wrap-distance-right:9pt;mso-wrap-distance-top:0pt;z-index:251663360;mso-width-relative:page;mso-height-relative:page;" filled="f" stroked="f" coordsize="21600,21600" o:gfxdata="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gn3FTXAAAACgEAAA8AAAAAAAAAAQAgAAAAIgAAAGRy&#10;cy9kb3ducmV2LnhtbFBLAQIUABQAAAAIAIdO4kDhCidfPwIAAGcEAAAOAAAAAAAAAAEAIAAAACYB&#10;AABkcnMvZTJvRG9jLnhtbFBLBQYAAAAABgAGAFkBAADXBQAAAAA=&#10;">
                <v:fill on="f" focussize="0,0"/>
                <v:stroke on="f" weight="0.5pt"/>
                <v:imagedata o:title=""/>
                <o:lock v:ext="edit" aspectratio="f"/>
                <v:textbox style="mso-fit-shape-to-text:t;">
                  <w:txbxContent>
                    <w:p w14:paraId="0B4E60F2">
                      <w:pPr>
                        <w:tabs>
                          <w:tab w:val="left" w:pos="3727"/>
                        </w:tabs>
                        <w:bidi w:val="0"/>
                        <w:jc w:val="center"/>
                        <w:rPr>
                          <w:rFonts w:hint="default"/>
                          <w:lang w:val="en-US" w:eastAsia="zh-CN"/>
                        </w:rPr>
                      </w:pPr>
                      <w:r>
                        <w:rPr>
                          <w:rFonts w:hint="eastAsia" w:ascii="仿宋" w:hAnsi="仿宋" w:eastAsia="仿宋" w:cs="仿宋"/>
                          <w:sz w:val="32"/>
                          <w:szCs w:val="32"/>
                          <w:lang w:val="en-US" w:eastAsia="zh-CN"/>
                        </w:rPr>
                        <w:t>是否公开：是</w:t>
                      </w:r>
                    </w:p>
                  </w:txbxContent>
                </v:textbox>
                <w10:wrap type="square"/>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2663825</wp:posOffset>
                </wp:positionH>
                <wp:positionV relativeFrom="paragraph">
                  <wp:posOffset>15240</wp:posOffset>
                </wp:positionV>
                <wp:extent cx="3071495"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30714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1A1246">
                            <w:pPr>
                              <w:tabs>
                                <w:tab w:val="left" w:pos="3727"/>
                              </w:tabs>
                              <w:bidi w:val="0"/>
                              <w:jc w:val="center"/>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〕第9</w:t>
                            </w:r>
                            <w:r>
                              <w:rPr>
                                <w:rFonts w:hint="eastAsia" w:ascii="仿宋" w:hAnsi="仿宋" w:eastAsia="仿宋" w:cs="仿宋"/>
                                <w:sz w:val="32"/>
                                <w:szCs w:val="32"/>
                                <w:lang w:val="en-US" w:eastAsia="zh-CN"/>
                              </w:rPr>
                              <w:t>号B类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09.75pt;margin-top:1.2pt;height:144pt;width:241.85pt;mso-wrap-distance-bottom:0pt;mso-wrap-distance-left:9pt;mso-wrap-distance-right:9pt;mso-wrap-distance-top:0pt;z-index:251662336;mso-width-relative:page;mso-height-relative:page;" filled="f" stroked="f" coordsize="21600,21600" o:gfxdata="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F5qkC1QAAAAkBAAAPAAAAAAAAAAEAIAAAACIAAABkcnMv&#10;ZG93bnJldi54bWxQSwECFAAUAAAACACHTuJAYp2BzT8CAABnBAAADgAAAAAAAAABACAAAAAkAQAA&#10;ZHJzL2Uyb0RvYy54bWxQSwUGAAAAAAYABgBZAQAA1QUAAAAA&#10;">
                <v:fill on="f" focussize="0,0"/>
                <v:stroke on="f" weight="0.5pt"/>
                <v:imagedata o:title=""/>
                <o:lock v:ext="edit" aspectratio="f"/>
                <v:textbox style="mso-fit-shape-to-text:t;">
                  <w:txbxContent>
                    <w:p w14:paraId="111A1246">
                      <w:pPr>
                        <w:tabs>
                          <w:tab w:val="left" w:pos="3727"/>
                        </w:tabs>
                        <w:bidi w:val="0"/>
                        <w:jc w:val="center"/>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〕第9</w:t>
                      </w:r>
                      <w:r>
                        <w:rPr>
                          <w:rFonts w:hint="eastAsia" w:ascii="仿宋" w:hAnsi="仿宋" w:eastAsia="仿宋" w:cs="仿宋"/>
                          <w:sz w:val="32"/>
                          <w:szCs w:val="32"/>
                          <w:lang w:val="en-US" w:eastAsia="zh-CN"/>
                        </w:rPr>
                        <w:t>号B类</w:t>
                      </w:r>
                    </w:p>
                  </w:txbxContent>
                </v:textbox>
                <w10:wrap type="square"/>
              </v:shape>
            </w:pict>
          </mc:Fallback>
        </mc:AlternateContent>
      </w:r>
    </w:p>
    <w:p w14:paraId="5B9DC01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eastAsia="zh-CN"/>
        </w:rPr>
      </w:pPr>
    </w:p>
    <w:p w14:paraId="43269DB7">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仿宋_GB2312" w:hAnsi="仿宋_GB2312" w:eastAsia="仿宋_GB2312" w:cs="仿宋_GB2312"/>
          <w:b/>
          <w:bCs/>
          <w:sz w:val="32"/>
          <w:szCs w:val="32"/>
        </w:rPr>
      </w:pPr>
    </w:p>
    <w:p w14:paraId="0A5BCDF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right="0"/>
        <w:jc w:val="center"/>
        <w:textAlignment w:val="auto"/>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pPr>
      <w:r>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t>关于县十八届人大五次会议第78号建议的</w:t>
      </w:r>
    </w:p>
    <w:p w14:paraId="57BE7F95">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right="0"/>
        <w:jc w:val="center"/>
        <w:textAlignment w:val="auto"/>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pPr>
      <w:bookmarkStart w:id="6" w:name="_GoBack"/>
      <w:bookmarkEnd w:id="6"/>
      <w:r>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t>会办意见</w:t>
      </w:r>
    </w:p>
    <w:p w14:paraId="2FB4402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right="0" w:firstLine="0"/>
        <w:jc w:val="both"/>
        <w:textAlignment w:val="auto"/>
        <w:rPr>
          <w:rFonts w:hint="default" w:ascii="方正大标宋简体" w:hAnsi="方正大标宋简体" w:eastAsia="方正大标宋简体" w:cs="方正大标宋简体"/>
          <w:b w:val="0"/>
          <w:bCs/>
          <w:i w:val="0"/>
          <w:caps w:val="0"/>
          <w:color w:val="000000"/>
          <w:spacing w:val="0"/>
          <w:kern w:val="0"/>
          <w:sz w:val="44"/>
          <w:szCs w:val="44"/>
          <w:lang w:val="en-US" w:eastAsia="zh-CN" w:bidi="ar"/>
        </w:rPr>
      </w:pPr>
    </w:p>
    <w:p w14:paraId="7C0ECDCA">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00" w:lineRule="exact"/>
        <w:ind w:left="0" w:right="0" w:firstLine="0"/>
        <w:jc w:val="both"/>
        <w:textAlignment w:val="auto"/>
        <w:rPr>
          <w:rFonts w:ascii="仿宋_GB2312" w:hAnsi="Times New Roman" w:eastAsia="仿宋_GB2312" w:cs="仿宋_GB2312"/>
          <w:i w:val="0"/>
          <w:caps w:val="0"/>
          <w:color w:val="000000"/>
          <w:spacing w:val="0"/>
          <w:kern w:val="0"/>
          <w:sz w:val="32"/>
          <w:szCs w:val="32"/>
          <w:lang w:val="en-US" w:eastAsia="zh-CN" w:bidi="ar"/>
        </w:rPr>
      </w:pPr>
      <w:r>
        <w:rPr>
          <w:rFonts w:hint="eastAsia" w:ascii="仿宋_GB2312" w:eastAsia="仿宋_GB2312" w:cs="仿宋_GB2312"/>
          <w:i w:val="0"/>
          <w:caps w:val="0"/>
          <w:color w:val="000000"/>
          <w:spacing w:val="0"/>
          <w:kern w:val="0"/>
          <w:sz w:val="32"/>
          <w:szCs w:val="32"/>
          <w:lang w:val="en-US" w:eastAsia="zh-CN" w:bidi="ar"/>
        </w:rPr>
        <w:t>县外资外援办</w:t>
      </w:r>
      <w:r>
        <w:rPr>
          <w:rFonts w:ascii="仿宋_GB2312" w:hAnsi="Times New Roman" w:eastAsia="仿宋_GB2312" w:cs="仿宋_GB2312"/>
          <w:i w:val="0"/>
          <w:caps w:val="0"/>
          <w:color w:val="000000"/>
          <w:spacing w:val="0"/>
          <w:kern w:val="0"/>
          <w:sz w:val="32"/>
          <w:szCs w:val="32"/>
          <w:lang w:val="en-US" w:eastAsia="zh-CN" w:bidi="ar"/>
        </w:rPr>
        <w:t>：</w:t>
      </w:r>
    </w:p>
    <w:p w14:paraId="3B90C7A6">
      <w:pPr>
        <w:keepNext w:val="0"/>
        <w:keepLines w:val="0"/>
        <w:pageBreakBefore w:val="0"/>
        <w:widowControl w:val="0"/>
        <w:kinsoku/>
        <w:wordWrap/>
        <w:overflowPunct/>
        <w:topLinePunct w:val="0"/>
        <w:autoSpaceDE/>
        <w:autoSpaceDN/>
        <w:bidi w:val="0"/>
        <w:adjustRightInd/>
        <w:snapToGrid/>
        <w:spacing w:line="500" w:lineRule="exact"/>
        <w:ind w:left="0" w:right="0" w:firstLine="640"/>
        <w:textAlignment w:val="auto"/>
        <w:rPr>
          <w:rFonts w:hint="eastAsia" w:ascii="仿宋_GB2312" w:hAnsi="仿宋_GB2312" w:eastAsia="仿宋_GB2312" w:cs="仿宋_GB2312"/>
          <w:sz w:val="32"/>
          <w:szCs w:val="32"/>
        </w:rPr>
      </w:pPr>
      <w:r>
        <w:rPr>
          <w:rFonts w:hint="eastAsia" w:ascii="仿宋_GB2312" w:eastAsia="仿宋_GB2312" w:cs="仿宋_GB2312"/>
          <w:i w:val="0"/>
          <w:caps w:val="0"/>
          <w:color w:val="000000"/>
          <w:spacing w:val="0"/>
          <w:kern w:val="0"/>
          <w:sz w:val="32"/>
          <w:szCs w:val="32"/>
          <w:lang w:val="en-US" w:eastAsia="zh-CN" w:bidi="ar"/>
        </w:rPr>
        <w:t>田鹏</w:t>
      </w:r>
      <w:r>
        <w:rPr>
          <w:rFonts w:hint="eastAsia" w:ascii="仿宋_GB2312" w:hAnsi="Times New Roman" w:eastAsia="仿宋_GB2312" w:cs="仿宋_GB2312"/>
          <w:i w:val="0"/>
          <w:caps w:val="0"/>
          <w:color w:val="000000"/>
          <w:spacing w:val="0"/>
          <w:kern w:val="0"/>
          <w:sz w:val="32"/>
          <w:szCs w:val="32"/>
          <w:lang w:val="en-US" w:eastAsia="zh-CN" w:bidi="ar"/>
        </w:rPr>
        <w:t>代表</w:t>
      </w:r>
      <w:r>
        <w:rPr>
          <w:rFonts w:hint="eastAsia" w:ascii="仿宋_GB2312" w:hAnsi="仿宋_GB2312" w:eastAsia="仿宋_GB2312" w:cs="仿宋_GB2312"/>
          <w:sz w:val="32"/>
          <w:szCs w:val="32"/>
        </w:rPr>
        <w:t>提出的《</w:t>
      </w:r>
      <w:r>
        <w:rPr>
          <w:rFonts w:hint="eastAsia" w:ascii="仿宋_GB2312" w:hAnsi="Times New Roman" w:eastAsia="仿宋_GB2312" w:cs="仿宋_GB2312"/>
          <w:i w:val="0"/>
          <w:caps w:val="0"/>
          <w:color w:val="000000"/>
          <w:spacing w:val="0"/>
          <w:kern w:val="0"/>
          <w:sz w:val="32"/>
          <w:szCs w:val="32"/>
          <w:lang w:val="en-US" w:eastAsia="zh-CN" w:bidi="ar"/>
        </w:rPr>
        <w:t>关于</w:t>
      </w:r>
      <w:r>
        <w:rPr>
          <w:rFonts w:hint="eastAsia" w:ascii="仿宋_GB2312" w:eastAsia="仿宋_GB2312" w:cs="仿宋_GB2312"/>
          <w:i w:val="0"/>
          <w:caps w:val="0"/>
          <w:color w:val="000000"/>
          <w:spacing w:val="0"/>
          <w:kern w:val="0"/>
          <w:sz w:val="32"/>
          <w:szCs w:val="32"/>
          <w:lang w:val="en-US" w:eastAsia="zh-CN" w:bidi="ar"/>
        </w:rPr>
        <w:t>推进龙山县石牌镇标准化百合加工厂建设的建议</w:t>
      </w:r>
      <w:r>
        <w:rPr>
          <w:rFonts w:hint="eastAsia" w:ascii="仿宋_GB2312" w:hAnsi="仿宋_GB2312" w:eastAsia="仿宋_GB2312" w:cs="仿宋_GB2312"/>
          <w:sz w:val="32"/>
          <w:szCs w:val="32"/>
        </w:rPr>
        <w:t>》已收悉。</w:t>
      </w:r>
      <w:r>
        <w:rPr>
          <w:rFonts w:hint="eastAsia" w:ascii="仿宋_GB2312" w:hAnsi="仿宋_GB2312" w:eastAsia="仿宋_GB2312" w:cs="仿宋_GB2312"/>
          <w:spacing w:val="0"/>
          <w:sz w:val="32"/>
          <w:szCs w:val="32"/>
          <w:lang w:eastAsia="zh-CN"/>
        </w:rPr>
        <w:t>经研究，现提出会办意见如下：</w:t>
      </w:r>
    </w:p>
    <w:p w14:paraId="3E9B1045">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黑体" w:hAnsi="黑体" w:eastAsia="黑体" w:cs="黑体"/>
          <w:b w:val="0"/>
          <w:bCs/>
          <w:kern w:val="0"/>
          <w:sz w:val="32"/>
          <w:szCs w:val="32"/>
          <w:shd w:val="clear" w:color="auto" w:fill="FFFFFF"/>
          <w:lang w:eastAsia="zh-CN"/>
        </w:rPr>
      </w:pPr>
      <w:bookmarkStart w:id="0" w:name="_Toc21050"/>
      <w:bookmarkStart w:id="1" w:name="_Toc440563333"/>
      <w:bookmarkStart w:id="2" w:name="_Toc29422"/>
      <w:r>
        <w:rPr>
          <w:rFonts w:hint="eastAsia" w:ascii="黑体" w:hAnsi="黑体" w:eastAsia="黑体" w:cs="黑体"/>
          <w:b w:val="0"/>
          <w:bCs/>
          <w:kern w:val="0"/>
          <w:sz w:val="32"/>
          <w:szCs w:val="32"/>
          <w:shd w:val="clear" w:color="auto" w:fill="FFFFFF"/>
          <w:lang w:eastAsia="zh-CN"/>
        </w:rPr>
        <w:t>一、</w:t>
      </w:r>
      <w:r>
        <w:rPr>
          <w:rFonts w:hint="eastAsia" w:ascii="黑体" w:hAnsi="黑体" w:eastAsia="黑体" w:cs="黑体"/>
          <w:b w:val="0"/>
          <w:bCs/>
          <w:kern w:val="0"/>
          <w:sz w:val="32"/>
          <w:szCs w:val="32"/>
          <w:shd w:val="clear" w:color="auto" w:fill="FFFFFF"/>
        </w:rPr>
        <w:t>目前</w:t>
      </w:r>
      <w:r>
        <w:rPr>
          <w:rFonts w:hint="eastAsia" w:ascii="黑体" w:hAnsi="黑体" w:eastAsia="黑体" w:cs="黑体"/>
          <w:b w:val="0"/>
          <w:bCs/>
          <w:kern w:val="0"/>
          <w:sz w:val="32"/>
          <w:szCs w:val="32"/>
          <w:shd w:val="clear" w:color="auto" w:fill="FFFFFF"/>
          <w:lang w:eastAsia="zh-CN"/>
        </w:rPr>
        <w:t>执行的法规</w:t>
      </w:r>
      <w:bookmarkEnd w:id="0"/>
      <w:bookmarkEnd w:id="1"/>
      <w:bookmarkEnd w:id="2"/>
      <w:r>
        <w:rPr>
          <w:rFonts w:hint="eastAsia" w:ascii="黑体" w:hAnsi="黑体" w:eastAsia="黑体" w:cs="黑体"/>
          <w:b w:val="0"/>
          <w:bCs/>
          <w:kern w:val="0"/>
          <w:sz w:val="32"/>
          <w:szCs w:val="32"/>
          <w:shd w:val="clear" w:color="auto" w:fill="FFFFFF"/>
          <w:lang w:eastAsia="zh-CN"/>
        </w:rPr>
        <w:t>及相关工作要求</w:t>
      </w:r>
    </w:p>
    <w:p w14:paraId="5D29ACD4">
      <w:pPr>
        <w:keepNext w:val="0"/>
        <w:keepLines w:val="0"/>
        <w:pageBreakBefore w:val="0"/>
        <w:kinsoku/>
        <w:wordWrap/>
        <w:overflowPunct/>
        <w:topLinePunct w:val="0"/>
        <w:autoSpaceDE/>
        <w:autoSpaceDN/>
        <w:bidi w:val="0"/>
        <w:adjustRightInd/>
        <w:snapToGrid/>
        <w:spacing w:line="500" w:lineRule="exact"/>
        <w:ind w:firstLine="280" w:firstLineChars="100"/>
        <w:textAlignment w:val="auto"/>
        <w:rPr>
          <w:rFonts w:hint="eastAsia" w:ascii="仿宋" w:hAnsi="仿宋" w:eastAsia="仿宋" w:cs="仿宋"/>
          <w:bCs/>
          <w:kern w:val="0"/>
          <w:sz w:val="32"/>
          <w:szCs w:val="32"/>
          <w:shd w:val="clear" w:color="auto" w:fill="FFFFFF"/>
        </w:rPr>
      </w:pPr>
      <w:r>
        <w:rPr>
          <w:rFonts w:hint="eastAsia" w:ascii="仿宋" w:hAnsi="仿宋" w:eastAsia="仿宋" w:cs="仿宋"/>
          <w:bCs/>
          <w:kern w:val="0"/>
          <w:sz w:val="28"/>
          <w:szCs w:val="28"/>
          <w:shd w:val="clear" w:color="auto" w:fill="FFFFFF"/>
        </w:rPr>
        <w:t>　</w:t>
      </w:r>
      <w:r>
        <w:rPr>
          <w:rFonts w:hint="eastAsia" w:ascii="楷体" w:hAnsi="楷体" w:eastAsia="楷体" w:cs="楷体"/>
          <w:b/>
          <w:bCs w:val="0"/>
          <w:kern w:val="0"/>
          <w:sz w:val="32"/>
          <w:szCs w:val="32"/>
          <w:shd w:val="clear" w:color="auto" w:fill="FFFFFF"/>
          <w:lang w:val="en-US" w:eastAsia="zh-CN"/>
        </w:rPr>
        <w:t>（一）</w:t>
      </w:r>
      <w:r>
        <w:rPr>
          <w:rFonts w:hint="eastAsia" w:ascii="楷体" w:hAnsi="楷体" w:eastAsia="楷体" w:cs="楷体"/>
          <w:b/>
          <w:bCs w:val="0"/>
          <w:kern w:val="0"/>
          <w:sz w:val="32"/>
          <w:szCs w:val="32"/>
          <w:shd w:val="clear" w:color="auto" w:fill="FFFFFF"/>
          <w:lang w:eastAsia="zh-CN"/>
        </w:rPr>
        <w:t>施工图审查的相关法规、规章</w:t>
      </w:r>
      <w:r>
        <w:rPr>
          <w:rFonts w:hint="eastAsia" w:ascii="楷体" w:hAnsi="楷体" w:eastAsia="楷体" w:cs="楷体"/>
          <w:b/>
          <w:bCs w:val="0"/>
          <w:kern w:val="0"/>
          <w:sz w:val="32"/>
          <w:szCs w:val="32"/>
          <w:shd w:val="clear" w:color="auto" w:fill="FFFFFF"/>
        </w:rPr>
        <w:t>。</w:t>
      </w:r>
      <w:r>
        <w:rPr>
          <w:rFonts w:hint="eastAsia" w:ascii="仿宋" w:hAnsi="仿宋" w:eastAsia="仿宋" w:cs="仿宋"/>
          <w:bCs/>
          <w:kern w:val="0"/>
          <w:sz w:val="32"/>
          <w:szCs w:val="32"/>
          <w:shd w:val="clear" w:color="auto" w:fill="FFFFFF"/>
          <w:lang w:eastAsia="zh-CN"/>
        </w:rPr>
        <w:t>根据《中华人民共和国建筑法》、《中华人民共和国消防法》、《建设工程质量管理条例》、《建设工程勘察设计管理条例》、《湖南省建设工程质量和安全生产管理条例》、《湖南省民用建筑节能条例》、《房屋建筑和市政基础设施工程施工图设计文件审查管理办法》、《湖南省人民政府办公厅关于推进房屋建筑和市政基础设施工程施工图审查制度改革的意见》等法规、规章，制定《湖南省建设工程施工图审查管理办法》。在本省行政区域内从事房屋建筑和市政基础设施工程（不含保密工程）施工图审查，特殊建设工程消防设计审查以及对其实施监督管理，应遵守本办法</w:t>
      </w:r>
      <w:r>
        <w:rPr>
          <w:rFonts w:hint="eastAsia" w:ascii="仿宋" w:hAnsi="仿宋" w:eastAsia="仿宋" w:cs="仿宋"/>
          <w:bCs/>
          <w:kern w:val="0"/>
          <w:sz w:val="32"/>
          <w:szCs w:val="32"/>
          <w:shd w:val="clear" w:color="auto" w:fill="FFFFFF"/>
        </w:rPr>
        <w:t>。</w:t>
      </w:r>
    </w:p>
    <w:p w14:paraId="636A8EC5">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Cs/>
          <w:kern w:val="0"/>
          <w:sz w:val="32"/>
          <w:szCs w:val="32"/>
          <w:shd w:val="clear" w:color="auto" w:fill="FFFFFF"/>
          <w:lang w:eastAsia="zh-CN"/>
        </w:rPr>
      </w:pPr>
      <w:r>
        <w:rPr>
          <w:rFonts w:hint="eastAsia" w:ascii="楷体" w:hAnsi="楷体" w:eastAsia="楷体" w:cs="楷体"/>
          <w:b/>
          <w:bCs w:val="0"/>
          <w:kern w:val="0"/>
          <w:sz w:val="32"/>
          <w:szCs w:val="32"/>
          <w:shd w:val="clear" w:color="auto" w:fill="FFFFFF"/>
          <w:lang w:val="en-US" w:eastAsia="zh-CN"/>
        </w:rPr>
        <w:t>（二）施工图审查简要流程。</w:t>
      </w:r>
      <w:r>
        <w:rPr>
          <w:rFonts w:hint="eastAsia" w:ascii="仿宋" w:hAnsi="仿宋" w:eastAsia="仿宋" w:cs="仿宋"/>
          <w:bCs/>
          <w:kern w:val="0"/>
          <w:sz w:val="32"/>
          <w:szCs w:val="32"/>
          <w:shd w:val="clear" w:color="auto" w:fill="FFFFFF"/>
          <w:lang w:eastAsia="zh-CN"/>
        </w:rPr>
        <w:t>本省实行互联网</w:t>
      </w:r>
      <w:r>
        <w:rPr>
          <w:rFonts w:hint="eastAsia" w:ascii="仿宋" w:hAnsi="仿宋" w:eastAsia="仿宋" w:cs="仿宋"/>
          <w:bCs/>
          <w:kern w:val="0"/>
          <w:sz w:val="32"/>
          <w:szCs w:val="32"/>
          <w:shd w:val="clear" w:color="auto" w:fill="FFFFFF"/>
          <w:lang w:val="en-US" w:eastAsia="zh-CN"/>
        </w:rPr>
        <w:t>+施工图审查和多图联审</w:t>
      </w:r>
      <w:r>
        <w:rPr>
          <w:rFonts w:hint="eastAsia" w:ascii="仿宋" w:hAnsi="仿宋" w:eastAsia="仿宋" w:cs="仿宋"/>
          <w:bCs/>
          <w:kern w:val="0"/>
          <w:sz w:val="32"/>
          <w:szCs w:val="32"/>
          <w:shd w:val="clear" w:color="auto" w:fill="FFFFFF"/>
        </w:rPr>
        <w:t>。</w:t>
      </w:r>
      <w:r>
        <w:rPr>
          <w:rFonts w:hint="eastAsia" w:ascii="仿宋" w:hAnsi="仿宋" w:eastAsia="仿宋" w:cs="仿宋"/>
          <w:bCs/>
          <w:kern w:val="0"/>
          <w:sz w:val="32"/>
          <w:szCs w:val="32"/>
          <w:shd w:val="clear" w:color="auto" w:fill="FFFFFF"/>
          <w:lang w:eastAsia="zh-CN"/>
        </w:rPr>
        <w:t>省住房城乡建设厅负责统一建设和管理湖南省施工图管理信息系统，提供施工图审查平台和信息共享服务，消防、人防等技术审查并入施工图设计文件审查。建设单位、勘察设计企业、审查机构、住房城乡建设部门应使用湖南省施工图管理信息系统进行线上审查，住房城乡建设部门应会同人防部门在线完成多图联审相关审核备案操作。</w:t>
      </w:r>
    </w:p>
    <w:p w14:paraId="71E0D1C7">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default"/>
          <w:lang w:val="en-US" w:eastAsia="zh-CN"/>
        </w:rPr>
      </w:pPr>
      <w:r>
        <w:rPr>
          <w:rFonts w:hint="eastAsia" w:ascii="楷体" w:hAnsi="楷体" w:eastAsia="楷体" w:cs="楷体"/>
          <w:b/>
          <w:bCs w:val="0"/>
          <w:kern w:val="0"/>
          <w:sz w:val="32"/>
          <w:szCs w:val="32"/>
          <w:shd w:val="clear" w:color="auto" w:fill="FFFFFF"/>
          <w:lang w:val="en-US" w:eastAsia="zh-CN"/>
        </w:rPr>
        <w:t>（三）施工图审查的时限。</w:t>
      </w:r>
      <w:r>
        <w:rPr>
          <w:rFonts w:hint="eastAsia" w:ascii="仿宋" w:hAnsi="仿宋" w:eastAsia="仿宋" w:cs="仿宋"/>
          <w:b w:val="0"/>
          <w:bCs/>
          <w:i w:val="0"/>
          <w:caps w:val="0"/>
          <w:color w:val="000000"/>
          <w:spacing w:val="0"/>
          <w:kern w:val="0"/>
          <w:sz w:val="32"/>
          <w:szCs w:val="32"/>
          <w:lang w:val="en-US" w:eastAsia="zh-CN" w:bidi="ar"/>
        </w:rPr>
        <w:t>审查机构应在13个工作日内完成房屋和市政基础设施工程施工图审查（含勘察、设计）；在8个工作日内完成房屋和市政基础设施工程之外其他特殊建设工程的消防设计审查。审查合格的，审查机构应出具审查情况报告书和审查合格书，在施工图上加盖审查合格专用章，并告知住房城乡建设部门、建设单位和勘察设计企业。住房城乡建设部门会同人防部门应在5个工作日内完成房屋和市政基础设施工程施工图审查备案（含勘察、设计），按规定需要进行消防设计审查的，住房城乡建设部门应同步出具消防设计审查意见书。住房城乡建设部门应在3个工作日内完成房屋和市政基础设施工程之外其他特殊建设工程消防设计审查确认，并同步出具具消防设计审查意见书。</w:t>
      </w:r>
    </w:p>
    <w:p w14:paraId="7467E389">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b w:val="0"/>
          <w:bCs w:val="0"/>
          <w:kern w:val="0"/>
          <w:sz w:val="32"/>
          <w:szCs w:val="32"/>
          <w:shd w:val="clear" w:color="auto" w:fill="FFFFFF"/>
          <w:lang w:val="en-US" w:eastAsia="zh-CN"/>
        </w:rPr>
      </w:pPr>
      <w:r>
        <w:rPr>
          <w:rFonts w:hint="eastAsia" w:ascii="黑体" w:hAnsi="黑体" w:eastAsia="黑体" w:cs="黑体"/>
          <w:b w:val="0"/>
          <w:bCs w:val="0"/>
          <w:kern w:val="0"/>
          <w:sz w:val="32"/>
          <w:szCs w:val="32"/>
          <w:shd w:val="clear" w:color="auto" w:fill="FFFFFF"/>
          <w:lang w:eastAsia="zh-CN"/>
        </w:rPr>
        <w:t>二、高度重视工程勘察设计质量高质量发展</w:t>
      </w:r>
      <w:r>
        <w:rPr>
          <w:rFonts w:hint="eastAsia" w:ascii="黑体" w:hAnsi="黑体" w:eastAsia="黑体" w:cs="黑体"/>
          <w:b w:val="0"/>
          <w:bCs w:val="0"/>
          <w:kern w:val="0"/>
          <w:sz w:val="32"/>
          <w:szCs w:val="32"/>
          <w:shd w:val="clear" w:color="auto" w:fill="FFFFFF"/>
          <w:lang w:val="en-US" w:eastAsia="zh-CN"/>
        </w:rPr>
        <w:t xml:space="preserve"> </w:t>
      </w:r>
    </w:p>
    <w:p w14:paraId="0D9AEF77">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rPr>
      </w:pPr>
      <w:r>
        <w:rPr>
          <w:rFonts w:hint="eastAsia" w:ascii="仿宋" w:hAnsi="仿宋" w:eastAsia="仿宋" w:cs="仿宋"/>
          <w:b w:val="0"/>
          <w:bCs/>
          <w:i w:val="0"/>
          <w:caps w:val="0"/>
          <w:color w:val="000000"/>
          <w:spacing w:val="0"/>
          <w:kern w:val="0"/>
          <w:sz w:val="32"/>
          <w:szCs w:val="32"/>
          <w:lang w:val="en-US" w:eastAsia="zh-CN" w:bidi="ar"/>
        </w:rPr>
        <w:t>近年来，县住房和城乡建设局坚持以人民为中心的发展思想，高度重视房屋和市政基础设施工程施工图审查相关工作，切实宣贯《</w:t>
      </w:r>
      <w:r>
        <w:rPr>
          <w:rFonts w:hint="eastAsia" w:ascii="仿宋" w:hAnsi="仿宋" w:eastAsia="仿宋" w:cs="仿宋"/>
          <w:bCs/>
          <w:kern w:val="0"/>
          <w:sz w:val="32"/>
          <w:szCs w:val="32"/>
          <w:shd w:val="clear" w:color="auto" w:fill="FFFFFF"/>
          <w:lang w:eastAsia="zh-CN"/>
        </w:rPr>
        <w:t>湖南省建设工程施工图审查管理办法</w:t>
      </w:r>
      <w:r>
        <w:rPr>
          <w:rFonts w:hint="eastAsia" w:ascii="仿宋" w:hAnsi="仿宋" w:eastAsia="仿宋" w:cs="仿宋"/>
          <w:b w:val="0"/>
          <w:bCs/>
          <w:i w:val="0"/>
          <w:caps w:val="0"/>
          <w:color w:val="000000"/>
          <w:spacing w:val="0"/>
          <w:kern w:val="0"/>
          <w:sz w:val="32"/>
          <w:szCs w:val="32"/>
          <w:lang w:val="en-US" w:eastAsia="zh-CN" w:bidi="ar"/>
        </w:rPr>
        <w:t>》，勘察、设计企业相关成果违反法律、法规、规章、政策及技术规范情况逐年下降，二审通过率逐年提升。</w:t>
      </w:r>
    </w:p>
    <w:p w14:paraId="7EDF20FC">
      <w:pPr>
        <w:keepNext w:val="0"/>
        <w:keepLines w:val="0"/>
        <w:pageBreakBefore w:val="0"/>
        <w:kinsoku/>
        <w:wordWrap/>
        <w:overflowPunct/>
        <w:topLinePunct w:val="0"/>
        <w:autoSpaceDE/>
        <w:autoSpaceDN/>
        <w:bidi w:val="0"/>
        <w:adjustRightInd/>
        <w:snapToGrid/>
        <w:spacing w:line="500" w:lineRule="exact"/>
        <w:ind w:firstLine="840" w:firstLineChars="300"/>
        <w:textAlignment w:val="auto"/>
        <w:rPr>
          <w:rFonts w:hint="eastAsia" w:ascii="黑体" w:hAnsi="黑体" w:eastAsia="黑体" w:cs="黑体"/>
          <w:b w:val="0"/>
          <w:bCs/>
          <w:kern w:val="0"/>
          <w:sz w:val="28"/>
          <w:szCs w:val="28"/>
          <w:shd w:val="clear" w:color="auto" w:fill="FFFFFF"/>
        </w:rPr>
      </w:pPr>
      <w:bookmarkStart w:id="3" w:name="_Toc13662"/>
      <w:bookmarkStart w:id="4" w:name="_Toc440563335"/>
      <w:bookmarkStart w:id="5" w:name="_Toc26300"/>
      <w:r>
        <w:rPr>
          <w:rFonts w:hint="eastAsia" w:ascii="黑体" w:hAnsi="黑体" w:eastAsia="黑体" w:cs="黑体"/>
          <w:b w:val="0"/>
          <w:bCs/>
          <w:kern w:val="0"/>
          <w:sz w:val="28"/>
          <w:szCs w:val="28"/>
          <w:shd w:val="clear" w:color="auto" w:fill="FFFFFF"/>
          <w:lang w:eastAsia="zh-CN"/>
        </w:rPr>
        <w:t>三、</w:t>
      </w:r>
      <w:r>
        <w:rPr>
          <w:rFonts w:hint="eastAsia" w:ascii="黑体" w:hAnsi="黑体" w:eastAsia="黑体" w:cs="黑体"/>
          <w:b w:val="0"/>
          <w:bCs/>
          <w:kern w:val="0"/>
          <w:sz w:val="32"/>
          <w:szCs w:val="32"/>
          <w:shd w:val="clear" w:color="auto" w:fill="FFFFFF"/>
          <w:lang w:eastAsia="zh-CN"/>
        </w:rPr>
        <w:t>推动助力施工图审查工作的</w:t>
      </w:r>
      <w:r>
        <w:rPr>
          <w:rFonts w:hint="eastAsia" w:ascii="黑体" w:hAnsi="黑体" w:eastAsia="黑体" w:cs="黑体"/>
          <w:b w:val="0"/>
          <w:bCs/>
          <w:kern w:val="0"/>
          <w:sz w:val="32"/>
          <w:szCs w:val="32"/>
          <w:shd w:val="clear" w:color="auto" w:fill="FFFFFF"/>
        </w:rPr>
        <w:t>思路</w:t>
      </w:r>
      <w:bookmarkEnd w:id="3"/>
    </w:p>
    <w:p w14:paraId="35CEC650">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楷体" w:hAnsi="楷体" w:eastAsia="楷体" w:cs="楷体"/>
          <w:b/>
          <w:bCs w:val="0"/>
          <w:kern w:val="0"/>
          <w:sz w:val="32"/>
          <w:szCs w:val="32"/>
          <w:shd w:val="clear" w:color="auto" w:fill="FFFFFF"/>
          <w:lang w:val="en-US" w:eastAsia="zh-CN"/>
        </w:rPr>
      </w:pPr>
      <w:r>
        <w:rPr>
          <w:rFonts w:hint="eastAsia" w:ascii="楷体" w:hAnsi="楷体" w:eastAsia="楷体" w:cs="楷体"/>
          <w:b/>
          <w:bCs w:val="0"/>
          <w:kern w:val="0"/>
          <w:sz w:val="32"/>
          <w:szCs w:val="32"/>
          <w:shd w:val="clear" w:color="auto" w:fill="FFFFFF"/>
          <w:lang w:val="en-US" w:eastAsia="zh-CN"/>
        </w:rPr>
        <w:t>（一）依托现行法规主动作为</w:t>
      </w:r>
    </w:p>
    <w:p w14:paraId="0B1DADE7">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Cs/>
          <w:kern w:val="0"/>
          <w:sz w:val="32"/>
          <w:szCs w:val="32"/>
          <w:shd w:val="clear" w:color="auto" w:fill="FFFFFF"/>
        </w:rPr>
      </w:pPr>
      <w:r>
        <w:rPr>
          <w:rFonts w:hint="eastAsia" w:ascii="仿宋" w:hAnsi="仿宋" w:eastAsia="仿宋" w:cs="仿宋"/>
          <w:bCs/>
          <w:kern w:val="0"/>
          <w:sz w:val="32"/>
          <w:szCs w:val="32"/>
          <w:shd w:val="clear" w:color="auto" w:fill="FFFFFF"/>
          <w:lang w:eastAsia="zh-CN"/>
        </w:rPr>
        <w:t>住建局建筑节能与科技股（勘察设计股）优化施工图审查工作，主动宣贯政策、法规，确保建设单位知晓申报流程及审查时限。加强业务人员专业素养，熟练掌握施工图管理信息系统。落实工作职责，及时归集相关审查数据，形成报告。为参建单位提供大数据支持，解决项目单位后续需要的各种电子版资料，同时进行项目回访，收集、反馈相关重点、难点问题，总结经验，为更好的服务各参建单位打下坚实基础。</w:t>
      </w:r>
    </w:p>
    <w:p w14:paraId="48D61496">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楷体" w:hAnsi="楷体" w:eastAsia="楷体" w:cs="楷体"/>
          <w:b/>
          <w:bCs w:val="0"/>
          <w:kern w:val="0"/>
          <w:sz w:val="32"/>
          <w:szCs w:val="32"/>
          <w:shd w:val="clear" w:color="auto" w:fill="FFFFFF"/>
          <w:lang w:val="en-US" w:eastAsia="zh-CN"/>
        </w:rPr>
      </w:pPr>
      <w:r>
        <w:rPr>
          <w:rFonts w:hint="eastAsia" w:ascii="楷体" w:hAnsi="楷体" w:eastAsia="楷体" w:cs="楷体"/>
          <w:b/>
          <w:bCs w:val="0"/>
          <w:kern w:val="0"/>
          <w:sz w:val="32"/>
          <w:szCs w:val="32"/>
          <w:shd w:val="clear" w:color="auto" w:fill="FFFFFF"/>
          <w:lang w:val="en-US" w:eastAsia="zh-CN"/>
        </w:rPr>
        <w:t>（二）依托现行法规提升工作效率</w:t>
      </w:r>
    </w:p>
    <w:p w14:paraId="4D1660B7">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i w:val="0"/>
          <w:caps w:val="0"/>
          <w:color w:val="000000"/>
          <w:spacing w:val="0"/>
          <w:kern w:val="0"/>
          <w:sz w:val="32"/>
          <w:szCs w:val="32"/>
          <w:lang w:val="en-US" w:eastAsia="zh-CN" w:bidi="ar"/>
        </w:rPr>
      </w:pPr>
      <w:r>
        <w:rPr>
          <w:rFonts w:hint="eastAsia" w:ascii="仿宋" w:hAnsi="仿宋" w:eastAsia="仿宋" w:cs="仿宋"/>
          <w:bCs/>
          <w:kern w:val="0"/>
          <w:sz w:val="32"/>
          <w:szCs w:val="32"/>
          <w:shd w:val="clear" w:color="auto" w:fill="FFFFFF"/>
          <w:lang w:eastAsia="zh-CN"/>
        </w:rPr>
        <w:t>进一步加大</w:t>
      </w:r>
      <w:r>
        <w:rPr>
          <w:rFonts w:hint="eastAsia" w:ascii="仿宋" w:hAnsi="仿宋" w:eastAsia="仿宋" w:cs="仿宋"/>
          <w:b w:val="0"/>
          <w:bCs/>
          <w:i w:val="0"/>
          <w:caps w:val="0"/>
          <w:color w:val="000000"/>
          <w:spacing w:val="0"/>
          <w:kern w:val="0"/>
          <w:sz w:val="32"/>
          <w:szCs w:val="32"/>
          <w:lang w:val="en-US" w:eastAsia="zh-CN" w:bidi="ar"/>
        </w:rPr>
        <w:t>《</w:t>
      </w:r>
      <w:r>
        <w:rPr>
          <w:rFonts w:hint="eastAsia" w:ascii="仿宋" w:hAnsi="仿宋" w:eastAsia="仿宋" w:cs="仿宋"/>
          <w:bCs/>
          <w:kern w:val="0"/>
          <w:sz w:val="32"/>
          <w:szCs w:val="32"/>
          <w:shd w:val="clear" w:color="auto" w:fill="FFFFFF"/>
          <w:lang w:eastAsia="zh-CN"/>
        </w:rPr>
        <w:t>湖南省建设工程施工图审查管理办法</w:t>
      </w:r>
      <w:r>
        <w:rPr>
          <w:rFonts w:hint="eastAsia" w:ascii="仿宋" w:hAnsi="仿宋" w:eastAsia="仿宋" w:cs="仿宋"/>
          <w:b w:val="0"/>
          <w:bCs/>
          <w:i w:val="0"/>
          <w:caps w:val="0"/>
          <w:color w:val="000000"/>
          <w:spacing w:val="0"/>
          <w:kern w:val="0"/>
          <w:sz w:val="32"/>
          <w:szCs w:val="32"/>
          <w:lang w:val="en-US" w:eastAsia="zh-CN" w:bidi="ar"/>
        </w:rPr>
        <w:t>》宣贯力度，完善房屋和市政基础设施工程施工图审查前期准备工作，为有效缩短图审时间，对勘察设计企业作出切实可行的工作要求。图审过程跟踪，及时解决审查过程中的各种问题。</w:t>
      </w:r>
    </w:p>
    <w:p w14:paraId="013A5FC2">
      <w:pPr>
        <w:pStyle w:val="7"/>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 w:hAnsi="仿宋" w:eastAsia="仿宋" w:cs="仿宋"/>
          <w:b w:val="0"/>
          <w:bCs/>
          <w:i w:val="0"/>
          <w:caps w:val="0"/>
          <w:color w:val="000000"/>
          <w:spacing w:val="0"/>
          <w:kern w:val="0"/>
          <w:sz w:val="32"/>
          <w:szCs w:val="32"/>
          <w:lang w:val="en-US" w:eastAsia="zh-CN" w:bidi="ar"/>
        </w:rPr>
        <w:t>加强与上级主管部门对接，为进一步优化、提升施工图审查相关工作效率，同时加强勘察设计质量监督管理，对审查机构查出的违法违规行为依法进行处理。</w:t>
      </w:r>
      <w:bookmarkEnd w:id="4"/>
      <w:bookmarkEnd w:id="5"/>
    </w:p>
    <w:p w14:paraId="5B59D612">
      <w:pPr>
        <w:keepNext w:val="0"/>
        <w:keepLines w:val="0"/>
        <w:pageBreakBefore w:val="0"/>
        <w:widowControl w:val="0"/>
        <w:kinsoku/>
        <w:wordWrap/>
        <w:overflowPunct/>
        <w:topLinePunct w:val="0"/>
        <w:autoSpaceDE/>
        <w:autoSpaceDN/>
        <w:bidi w:val="0"/>
        <w:adjustRightInd/>
        <w:snapToGrid/>
        <w:spacing w:line="500" w:lineRule="exact"/>
        <w:ind w:left="0" w:right="0" w:firstLine="640"/>
        <w:textAlignment w:val="auto"/>
        <w:rPr>
          <w:rFonts w:hint="eastAsia"/>
        </w:rPr>
      </w:pPr>
      <w:r>
        <w:rPr>
          <w:rFonts w:hint="eastAsia" w:ascii="仿宋_GB2312" w:hAnsi="仿宋_GB2312" w:eastAsia="仿宋_GB2312" w:cs="仿宋_GB2312"/>
          <w:spacing w:val="0"/>
          <w:sz w:val="32"/>
          <w:szCs w:val="32"/>
          <w:lang w:eastAsia="zh-CN"/>
        </w:rPr>
        <w:t>以上意见，供贵单位在正式答复</w:t>
      </w:r>
      <w:r>
        <w:rPr>
          <w:rFonts w:hint="eastAsia" w:ascii="仿宋_GB2312" w:eastAsia="仿宋_GB2312" w:cs="仿宋_GB2312"/>
          <w:i w:val="0"/>
          <w:caps w:val="0"/>
          <w:color w:val="000000"/>
          <w:spacing w:val="0"/>
          <w:kern w:val="0"/>
          <w:sz w:val="32"/>
          <w:szCs w:val="32"/>
          <w:lang w:val="en-US" w:eastAsia="zh-CN" w:bidi="ar"/>
        </w:rPr>
        <w:t>田鹏</w:t>
      </w:r>
      <w:r>
        <w:rPr>
          <w:rFonts w:hint="eastAsia" w:ascii="仿宋_GB2312" w:hAnsi="Times New Roman" w:eastAsia="仿宋_GB2312" w:cs="仿宋_GB2312"/>
          <w:i w:val="0"/>
          <w:caps w:val="0"/>
          <w:color w:val="000000"/>
          <w:spacing w:val="0"/>
          <w:kern w:val="0"/>
          <w:sz w:val="32"/>
          <w:szCs w:val="32"/>
          <w:lang w:val="en-US" w:eastAsia="zh-CN" w:bidi="ar"/>
        </w:rPr>
        <w:t>代表</w:t>
      </w:r>
      <w:r>
        <w:rPr>
          <w:rFonts w:hint="eastAsia" w:ascii="仿宋_GB2312" w:hAnsi="仿宋_GB2312" w:eastAsia="仿宋_GB2312" w:cs="仿宋_GB2312"/>
          <w:spacing w:val="0"/>
          <w:sz w:val="32"/>
          <w:szCs w:val="32"/>
          <w:lang w:eastAsia="zh-CN"/>
        </w:rPr>
        <w:t>时参考。</w:t>
      </w:r>
    </w:p>
    <w:p w14:paraId="7622004A">
      <w:pPr>
        <w:pStyle w:val="7"/>
        <w:keepNext w:val="0"/>
        <w:keepLines w:val="0"/>
        <w:pageBreakBefore w:val="0"/>
        <w:kinsoku/>
        <w:wordWrap/>
        <w:overflowPunct/>
        <w:topLinePunct w:val="0"/>
        <w:autoSpaceDE/>
        <w:autoSpaceDN/>
        <w:bidi w:val="0"/>
        <w:adjustRightInd/>
        <w:snapToGrid/>
        <w:spacing w:line="500" w:lineRule="exact"/>
        <w:textAlignment w:val="auto"/>
        <w:rPr>
          <w:rFonts w:hint="eastAsia"/>
        </w:rPr>
      </w:pPr>
    </w:p>
    <w:p w14:paraId="397F967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签发领导：</w:t>
      </w:r>
      <w:r>
        <w:rPr>
          <w:rFonts w:hint="eastAsia" w:ascii="仿宋_GB2312" w:hAnsi="仿宋_GB2312" w:eastAsia="仿宋_GB2312" w:cs="仿宋_GB2312"/>
          <w:sz w:val="32"/>
          <w:szCs w:val="32"/>
          <w:lang w:eastAsia="zh-CN"/>
        </w:rPr>
        <w:t>黎明</w:t>
      </w:r>
    </w:p>
    <w:p w14:paraId="4163AB5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承办人员：</w:t>
      </w:r>
      <w:r>
        <w:rPr>
          <w:rFonts w:hint="eastAsia" w:ascii="仿宋_GB2312" w:hAnsi="仿宋_GB2312" w:eastAsia="仿宋_GB2312" w:cs="仿宋_GB2312"/>
          <w:sz w:val="32"/>
          <w:szCs w:val="32"/>
          <w:lang w:eastAsia="zh-CN"/>
        </w:rPr>
        <w:t>潘勤</w:t>
      </w:r>
    </w:p>
    <w:p w14:paraId="04FC58C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0743-6222272</w:t>
      </w:r>
    </w:p>
    <w:p w14:paraId="4898AC7E">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6F623A73">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2C431F9C">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w:t>
      </w:r>
    </w:p>
    <w:p w14:paraId="5BACDF3B">
      <w:pPr>
        <w:keepNext w:val="0"/>
        <w:keepLines w:val="0"/>
        <w:pageBreakBefore w:val="0"/>
        <w:widowControl w:val="0"/>
        <w:kinsoku/>
        <w:wordWrap/>
        <w:overflowPunct/>
        <w:topLinePunct w:val="0"/>
        <w:autoSpaceDE/>
        <w:autoSpaceDN/>
        <w:bidi w:val="0"/>
        <w:adjustRightInd/>
        <w:snapToGrid/>
        <w:spacing w:line="500" w:lineRule="exact"/>
        <w:ind w:firstLine="5120" w:firstLineChars="16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 xml:space="preserve">日 </w:t>
      </w:r>
    </w:p>
    <w:p w14:paraId="6D70C6F9"/>
    <w:sectPr>
      <w:pgSz w:w="11906" w:h="16838"/>
      <w:pgMar w:top="1984" w:right="1417" w:bottom="1417" w:left="1701" w:header="851" w:footer="992" w:gutter="0"/>
      <w:cols w:space="72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A71D3"/>
    <w:rsid w:val="0C741F66"/>
    <w:rsid w:val="15D13A92"/>
    <w:rsid w:val="18BC5990"/>
    <w:rsid w:val="1D4A71D3"/>
    <w:rsid w:val="2A426494"/>
    <w:rsid w:val="3B0532F1"/>
    <w:rsid w:val="542D5DED"/>
    <w:rsid w:val="67AE797F"/>
    <w:rsid w:val="72513F19"/>
    <w:rsid w:val="77451FC1"/>
    <w:rsid w:val="7D292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szCs w:val="18"/>
    </w:rPr>
  </w:style>
  <w:style w:type="paragraph" w:customStyle="1" w:styleId="3">
    <w:name w:val="Index5"/>
    <w:basedOn w:val="1"/>
    <w:next w:val="1"/>
    <w:qFormat/>
    <w:uiPriority w:val="0"/>
    <w:pPr>
      <w:spacing w:line="240" w:lineRule="auto"/>
      <w:ind w:left="1680"/>
      <w:jc w:val="both"/>
    </w:pPr>
    <w:rPr>
      <w:rFonts w:ascii="Times New Roman" w:hAnsi="Times New Roman"/>
      <w:kern w:val="2"/>
      <w:sz w:val="21"/>
      <w:szCs w:val="24"/>
      <w:lang w:val="en-US" w:eastAsia="zh-CN" w:bidi="ar-SA"/>
    </w:rPr>
  </w:style>
  <w:style w:type="paragraph" w:customStyle="1" w:styleId="6">
    <w:name w:val="标题 5（有编号）（绿盟科技）"/>
    <w:basedOn w:val="1"/>
    <w:next w:val="7"/>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7">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1482</Words>
  <Characters>1498</Characters>
  <Lines>0</Lines>
  <Paragraphs>0</Paragraphs>
  <TotalTime>4</TotalTime>
  <ScaleCrop>false</ScaleCrop>
  <LinksUpToDate>false</LinksUpToDate>
  <CharactersWithSpaces>1543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2025-04-18T03:52:00Z</dcterms:created>
  <dc:creator> 元寶  </dc:creator>
  <cp:lastModifiedBy>晓敏</cp:lastModifiedBy>
  <cp:lastPrinted>2025-04-18T07:10:00Z</cp:lastPrinted>
  <dcterms:modified xsi:type="dcterms:W3CDTF">2025-05-06T07:28:56Z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003AF661F1B6415F924D58178E02A37B_13</vt:lpwstr>
  </property>
  <property fmtid="{D5CDD505-2E9C-101B-9397-08002B2CF9AE}" pid="4" name="KSOTemplateDocerSaveRecord">
    <vt:lpwstr>eyJoZGlkIjoiZGRmYjg3OTUxODIxN2VkZjc5ZTZhNjVjN2M4OGNjNGUiLCJ1c2VySWQiOiI3NDU3NDU4MzkifQ==</vt:lpwstr>
  </property>
</Properties>
</file>